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EC1107" w:rsidP="006F3709">
      <w:pPr>
        <w:jc w:val="right"/>
      </w:pPr>
      <w:r>
        <w:t xml:space="preserve">Warszawa,  </w:t>
      </w:r>
      <w:bookmarkStart w:id="0" w:name="ezdDataPodpisu"/>
      <w:r>
        <w:t>07 czerwca 2019</w:t>
      </w:r>
      <w:bookmarkEnd w:id="0"/>
      <w:r>
        <w:t xml:space="preserve"> r.</w:t>
      </w:r>
    </w:p>
    <w:p w:rsidR="006F3709" w:rsidRDefault="00EC1107" w:rsidP="006F3709">
      <w:pPr>
        <w:pStyle w:val="menfont"/>
      </w:pPr>
      <w:bookmarkStart w:id="1" w:name="ezdSprawaZnak"/>
      <w:r>
        <w:t>DPPI-WPPiP.4083.61.2019</w:t>
      </w:r>
      <w:bookmarkEnd w:id="1"/>
      <w:r>
        <w:t>.</w:t>
      </w:r>
      <w:bookmarkStart w:id="2" w:name="ezdAutorInicjaly"/>
      <w:r>
        <w:t>IK</w:t>
      </w:r>
      <w:bookmarkEnd w:id="2"/>
    </w:p>
    <w:p w:rsidR="00312C81" w:rsidRDefault="00EC1107">
      <w:pPr>
        <w:pStyle w:val="menfont"/>
      </w:pPr>
    </w:p>
    <w:p w:rsidR="00312C81" w:rsidRDefault="00EC1107">
      <w:pPr>
        <w:pStyle w:val="menfont"/>
      </w:pPr>
    </w:p>
    <w:p w:rsidR="00FA6E59" w:rsidRDefault="00EC1107">
      <w:pPr>
        <w:pStyle w:val="menfont"/>
      </w:pPr>
    </w:p>
    <w:p w:rsidR="00FA6E59" w:rsidRDefault="00EC1107">
      <w:pPr>
        <w:pStyle w:val="menfont"/>
      </w:pPr>
    </w:p>
    <w:p w:rsidR="00AD728C" w:rsidRPr="00845FBB" w:rsidRDefault="00EC1107" w:rsidP="00AD728C">
      <w:pPr>
        <w:pStyle w:val="menfont"/>
        <w:spacing w:line="276" w:lineRule="auto"/>
        <w:rPr>
          <w:b/>
        </w:rPr>
      </w:pPr>
      <w:r w:rsidRPr="00845FBB">
        <w:rPr>
          <w:b/>
        </w:rPr>
        <w:t>Wojewodowie</w:t>
      </w:r>
    </w:p>
    <w:p w:rsidR="00AD728C" w:rsidRPr="00845FBB" w:rsidRDefault="00EC1107" w:rsidP="00AD728C">
      <w:pPr>
        <w:pStyle w:val="menfont"/>
        <w:spacing w:line="276" w:lineRule="auto"/>
        <w:rPr>
          <w:b/>
        </w:rPr>
      </w:pPr>
      <w:r w:rsidRPr="00845FBB">
        <w:rPr>
          <w:b/>
        </w:rPr>
        <w:t>/wszyscy/</w:t>
      </w:r>
    </w:p>
    <w:p w:rsidR="00AD728C" w:rsidRDefault="00EC1107" w:rsidP="00AD728C">
      <w:pPr>
        <w:pStyle w:val="menfont"/>
        <w:spacing w:line="276" w:lineRule="auto"/>
      </w:pPr>
    </w:p>
    <w:p w:rsidR="00AD728C" w:rsidRDefault="00EC1107" w:rsidP="00AD728C">
      <w:pPr>
        <w:pStyle w:val="menfont"/>
        <w:spacing w:line="276" w:lineRule="auto"/>
        <w:rPr>
          <w:i/>
        </w:rPr>
      </w:pPr>
    </w:p>
    <w:p w:rsidR="00AD728C" w:rsidRDefault="00EC1107" w:rsidP="00AD728C">
      <w:pPr>
        <w:pStyle w:val="menfont"/>
        <w:spacing w:line="276" w:lineRule="auto"/>
        <w:rPr>
          <w:i/>
        </w:rPr>
      </w:pPr>
      <w:r>
        <w:rPr>
          <w:i/>
        </w:rPr>
        <w:t>Szanowni Państwo Wojewodowie,</w:t>
      </w:r>
    </w:p>
    <w:p w:rsidR="00AD728C" w:rsidRDefault="00EC1107" w:rsidP="00AD728C">
      <w:pPr>
        <w:pStyle w:val="menfont"/>
        <w:spacing w:line="276" w:lineRule="auto"/>
      </w:pPr>
    </w:p>
    <w:p w:rsidR="00AD728C" w:rsidRPr="006E1E9A" w:rsidRDefault="00EC1107" w:rsidP="00AD728C">
      <w:pPr>
        <w:spacing w:line="276" w:lineRule="auto"/>
        <w:jc w:val="both"/>
      </w:pPr>
      <w:r w:rsidRPr="006E1E9A">
        <w:t xml:space="preserve">Ministerstwo Edukacji Narodowej uprzejmie informuje, że łączna kwota środków budżetu państwa przeznaczonych na sfinansowanie wyposażenia szkół podstawowych oraz szkół artystycznych realizujących </w:t>
      </w:r>
      <w:r>
        <w:t xml:space="preserve">kształcenie ogólne </w:t>
      </w:r>
      <w:r w:rsidRPr="00AD728C">
        <w:t>w</w:t>
      </w:r>
      <w:r>
        <w:t xml:space="preserve">  </w:t>
      </w:r>
      <w:r w:rsidRPr="00AD728C">
        <w:t>zakresie</w:t>
      </w:r>
      <w:r w:rsidRPr="006E1E9A">
        <w:t xml:space="preserve"> szkoły podstawowej w podręczni</w:t>
      </w:r>
      <w:r w:rsidRPr="006E1E9A">
        <w:t>ki, materiały edukacyjne i materiały ćwiczeniowe</w:t>
      </w:r>
      <w:r>
        <w:t xml:space="preserve"> </w:t>
      </w:r>
      <w:r w:rsidRPr="006E1E9A">
        <w:t xml:space="preserve">nie może przekroczyć limitu określonego w art. 120 ust. 1 pkt </w:t>
      </w:r>
      <w:r>
        <w:t>2</w:t>
      </w:r>
      <w:r w:rsidRPr="006E1E9A">
        <w:t xml:space="preserve"> ustawy z dnia 27 października 2017 r. o finansowaniu zadań oświatowych.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</w:pPr>
      <w:r>
        <w:t xml:space="preserve">Zatem, uprzejmie </w:t>
      </w:r>
      <w:r w:rsidRPr="006E1E9A">
        <w:t>Państwa</w:t>
      </w:r>
      <w:r>
        <w:t xml:space="preserve"> proszę </w:t>
      </w:r>
      <w:r w:rsidRPr="006E1E9A">
        <w:t>o wnikli</w:t>
      </w:r>
      <w:r>
        <w:t>wą analizę</w:t>
      </w:r>
      <w:r w:rsidRPr="006E1E9A">
        <w:t xml:space="preserve"> składanych przez je</w:t>
      </w:r>
      <w:r w:rsidRPr="006E1E9A">
        <w:t>dnostki samorządu terytorialneg</w:t>
      </w:r>
      <w:r>
        <w:t>o danego województwa wniosków o </w:t>
      </w:r>
      <w:r w:rsidRPr="006E1E9A">
        <w:t xml:space="preserve">udzielenie dotacji celowej. 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  <w:rPr>
          <w:rFonts w:eastAsiaTheme="minorHAnsi"/>
          <w:lang w:eastAsia="en-US"/>
        </w:rPr>
      </w:pPr>
      <w:r w:rsidRPr="006E1E9A">
        <w:t>Zgodnie z art. 58 ust. 10 ww. ustawy, jeżeli w wyniku aktualizacji wniosku jednostki samorządu terytorialnego okaże się, że wnioskowana kwota dotacji ulegnie zmnie</w:t>
      </w:r>
      <w:r w:rsidRPr="006E1E9A">
        <w:t xml:space="preserve">jszeniu, a </w:t>
      </w:r>
      <w:r w:rsidRPr="006E1E9A">
        <w:rPr>
          <w:rFonts w:eastAsiaTheme="minorHAnsi"/>
          <w:lang w:eastAsia="en-US"/>
        </w:rPr>
        <w:t>dotacja celowa przekazana przez wojewodę jednostce samorządu terytorialnego przekracza kwotę wskazaną w aktualizacji wniosku, jednostka samorządu terytorialnego, w terminie 5 dni od dnia złożenia aktualizacji, zwraca wojewodzie kwotę dotacji, ró</w:t>
      </w:r>
      <w:r w:rsidRPr="006E1E9A">
        <w:rPr>
          <w:rFonts w:eastAsiaTheme="minorHAnsi"/>
          <w:lang w:eastAsia="en-US"/>
        </w:rPr>
        <w:t xml:space="preserve">wną różnicy między kwotą, którą jednostka samorządu terytorialnego </w:t>
      </w:r>
      <w:r>
        <w:rPr>
          <w:rFonts w:eastAsiaTheme="minorHAnsi"/>
          <w:lang w:eastAsia="en-US"/>
        </w:rPr>
        <w:t>otrzymała, a kwotą wynikającą z </w:t>
      </w:r>
      <w:r w:rsidRPr="006E1E9A">
        <w:rPr>
          <w:rFonts w:eastAsiaTheme="minorHAnsi"/>
          <w:lang w:eastAsia="en-US"/>
        </w:rPr>
        <w:t xml:space="preserve">aktualizacji. </w:t>
      </w:r>
    </w:p>
    <w:p w:rsidR="00AD728C" w:rsidRPr="006E1E9A" w:rsidRDefault="00EC1107" w:rsidP="00AD728C">
      <w:pPr>
        <w:spacing w:line="276" w:lineRule="auto"/>
        <w:jc w:val="both"/>
        <w:rPr>
          <w:rFonts w:eastAsiaTheme="minorHAnsi"/>
          <w:lang w:eastAsia="en-US"/>
        </w:rPr>
      </w:pPr>
      <w:r w:rsidRPr="006E1E9A">
        <w:rPr>
          <w:rFonts w:eastAsiaTheme="minorHAnsi"/>
          <w:lang w:eastAsia="en-US"/>
        </w:rPr>
        <w:t>W myśl art. 58 ust. 6 wnioski jednostki samorządu terytorialnego o udzielenie dotacji celowej przekazywane są do wojewody do dnia 15 września.</w:t>
      </w:r>
      <w:r w:rsidRPr="006E1E9A">
        <w:rPr>
          <w:rFonts w:eastAsiaTheme="minorHAnsi"/>
          <w:lang w:eastAsia="en-US"/>
        </w:rPr>
        <w:t xml:space="preserve"> 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</w:pPr>
      <w:r w:rsidRPr="006E1E9A">
        <w:t>Mając powyższe na uwadze proszę podjąć działania dyscyplinujące jednostki samorządu terytorialnego do terminowego zwrotu środków z dotacji. Zwroty dokonane przez jednostki samorządu terytorialnego należy niezwłocznie przeznaczyć na uzupełnienie brakując</w:t>
      </w:r>
      <w:r w:rsidRPr="006E1E9A">
        <w:t xml:space="preserve">ych środków zgłaszanych przez poszczególne jednostki samorządu terytorialnego.   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</w:pPr>
      <w:r w:rsidRPr="006E1E9A">
        <w:t xml:space="preserve">W przypadku stwierdzenia, że łączna kwota środków przyznanych decyzjami Ministra Finansów z rezerwy celowej budżetu państwa poz. </w:t>
      </w:r>
      <w:r w:rsidRPr="00961468">
        <w:t xml:space="preserve">26 </w:t>
      </w:r>
      <w:r w:rsidRPr="005F62E2">
        <w:rPr>
          <w:i/>
          <w:iCs/>
        </w:rPr>
        <w:t>„Środki na wyrównywanie szans edukacyjnyc</w:t>
      </w:r>
      <w:r w:rsidRPr="005F62E2">
        <w:rPr>
          <w:i/>
          <w:iCs/>
        </w:rPr>
        <w:t>h dzieci i młodzieży, zapewnienie uczniom objętym obowiązkiem szkolnym dostępu do bezpłatnych podręczników, materiałów edukacyjnych i materiałów ćwiczeniowych oraz realizację programu rządowego „Aktywna tablica”</w:t>
      </w:r>
      <w:r>
        <w:rPr>
          <w:iCs/>
        </w:rPr>
        <w:t xml:space="preserve"> </w:t>
      </w:r>
      <w:r w:rsidRPr="006E1E9A">
        <w:t>przewyższa zapotrzebowanie zgłoszone przez j</w:t>
      </w:r>
      <w:r w:rsidRPr="006E1E9A">
        <w:t>ednostki samorządu terytorialnego, proszę o niezwłoczne wystąpienie do Ministra Finansów o dokonanie korekt ww. decyzji polegających na stosownym zmniejszeniu otrzymanych środków – zgodnie z zapisami art. 154 ustawy z dnia 27 sierpnia 2009 r. o finansach p</w:t>
      </w:r>
      <w:r w:rsidRPr="006E1E9A">
        <w:t>ublicznych (Dz. U. z 201</w:t>
      </w:r>
      <w:r>
        <w:t>9</w:t>
      </w:r>
      <w:r w:rsidRPr="006E1E9A">
        <w:t xml:space="preserve"> r. poz. </w:t>
      </w:r>
      <w:r>
        <w:t xml:space="preserve">869). </w:t>
      </w:r>
      <w:r w:rsidRPr="006E1E9A">
        <w:t xml:space="preserve">Uprzejmie proszę o poinformowanie Ministerstwa Edukacji Narodowej </w:t>
      </w:r>
      <w:r>
        <w:br/>
      </w:r>
      <w:r w:rsidRPr="006E1E9A">
        <w:t xml:space="preserve">o </w:t>
      </w:r>
      <w:r>
        <w:t>zaistniałej</w:t>
      </w:r>
      <w:r w:rsidRPr="006E1E9A">
        <w:t xml:space="preserve"> sytuacji z podaniem kwoty zgłoszonej korekty.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</w:pPr>
      <w:r w:rsidRPr="006E1E9A">
        <w:t>Niezależnie od powyższego, pragnę zwrócić Państwa uwagę na kwestię związaną z refundacją</w:t>
      </w:r>
      <w:r w:rsidRPr="006E1E9A">
        <w:t xml:space="preserve"> poniesionych przez jednostki samorządu terytorialnego wydatków na zakup podręczników, materiałów edukacyjnych i ćwiczeniowych, </w:t>
      </w:r>
      <w:r>
        <w:br/>
      </w:r>
      <w:r w:rsidRPr="006E1E9A">
        <w:t xml:space="preserve">o której mowa w art. 57 ww. ustawy oraz stosownych przepisach przejściowych oraz ich klasyfikację budżetową. </w:t>
      </w:r>
    </w:p>
    <w:p w:rsidR="00AD728C" w:rsidRPr="006E1E9A" w:rsidRDefault="00EC1107" w:rsidP="00AD728C">
      <w:pPr>
        <w:autoSpaceDE w:val="0"/>
        <w:autoSpaceDN w:val="0"/>
        <w:adjustRightInd w:val="0"/>
        <w:spacing w:line="276" w:lineRule="auto"/>
        <w:jc w:val="both"/>
      </w:pPr>
      <w:r w:rsidRPr="006E1E9A">
        <w:t xml:space="preserve">Szkoły składając informacje niezbędne dla ustalenia wysokości dotacji celowej powinny w części dotyczącej refundacji podawać kwoty wynikające z realnie poniesionych wydatków na zakup podręczników, materiałów edukacyjnych </w:t>
      </w:r>
      <w:r>
        <w:br/>
      </w:r>
      <w:r w:rsidRPr="006E1E9A">
        <w:t>i ćwiczeniowych. Łączna kwota dota</w:t>
      </w:r>
      <w:r w:rsidRPr="006E1E9A">
        <w:t xml:space="preserve">cji przyznana z tytułu refundacji nie powinna być wyższa niż </w:t>
      </w:r>
      <w:r>
        <w:t xml:space="preserve">kwota </w:t>
      </w:r>
      <w:r w:rsidRPr="006E1E9A">
        <w:t>niezbędna na sfinansowanie dotowanego zadania</w:t>
      </w:r>
      <w:r>
        <w:t>,</w:t>
      </w:r>
      <w:r w:rsidRPr="006E1E9A">
        <w:t xml:space="preserve"> w przeciwnym wypadku należy uzna</w:t>
      </w:r>
      <w:r>
        <w:t>ć, iż dotacja została pobrana w </w:t>
      </w:r>
      <w:r w:rsidRPr="006E1E9A">
        <w:t xml:space="preserve">nadmiernej wysokości. 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Pr="006E1E9A" w:rsidRDefault="00EC1107" w:rsidP="00AD728C">
      <w:pPr>
        <w:spacing w:line="276" w:lineRule="auto"/>
        <w:jc w:val="both"/>
      </w:pPr>
      <w:r w:rsidRPr="006E1E9A">
        <w:t>W związku z nowelizacją rozporządzenia Ministra Finansów  z dnia 18 kwietnia 2018 r. zmieniającego rozporządzenie w sprawie szczegółowej klasyfikacji dochodów, wydatków, przychodów i rozchodów oraz środków pochodzących ze źródeł zagranicznych (Dz.U. z 2018</w:t>
      </w:r>
      <w:r w:rsidRPr="006E1E9A">
        <w:t xml:space="preserve"> r. poz. 767), od 2018 roku obowiązuje nowy rozdział 80153 - </w:t>
      </w:r>
      <w:r w:rsidRPr="006E1E9A">
        <w:rPr>
          <w:i/>
        </w:rPr>
        <w:t>Zapewnienie uczniom prawa do bezpłatnego dostępu do podręczników, materiałów edukacyjnych lub materiałów ćwiczeniowych</w:t>
      </w:r>
      <w:r w:rsidRPr="006E1E9A">
        <w:t>, a więc</w:t>
      </w:r>
      <w:r w:rsidRPr="006E1E9A">
        <w:rPr>
          <w:i/>
        </w:rPr>
        <w:t xml:space="preserve"> </w:t>
      </w:r>
      <w:r w:rsidRPr="006E1E9A">
        <w:t>wszystkie wydatki przeznaczone na ten cel (również w zakresie zapewn</w:t>
      </w:r>
      <w:r w:rsidRPr="006E1E9A">
        <w:t>ienia odpowiedniego kompletu podręczników, materiałów edukacyjnych lub materiałów ćwiczeniowych dostosowanego do potrzeb edukacyjnych i możliwości psychofizycznych uczniów niepełnosprawnych)</w:t>
      </w:r>
      <w:r>
        <w:t xml:space="preserve"> </w:t>
      </w:r>
      <w:r w:rsidRPr="006E1E9A">
        <w:t>powinny być klasyfikowane w ww. rozdziale.</w:t>
      </w:r>
    </w:p>
    <w:p w:rsidR="00AD728C" w:rsidRPr="006E1E9A" w:rsidRDefault="00EC1107" w:rsidP="00AD728C">
      <w:pPr>
        <w:spacing w:line="276" w:lineRule="auto"/>
        <w:jc w:val="both"/>
      </w:pPr>
      <w:r w:rsidRPr="006E1E9A">
        <w:t>Jednakże należy zauważ</w:t>
      </w:r>
      <w:r w:rsidRPr="006E1E9A">
        <w:t>yć, iż zwrot jednostkom samorządu terytorialnego środków poniesionych na zakup podręczników, materiałów edukacyjnych i ćwiczeniowych tj. refundacja wydatków przekazywana w formie dotacji z budżetu państwa stanowi dochód danej jednostki samorządu terytorial</w:t>
      </w:r>
      <w:r w:rsidRPr="006E1E9A">
        <w:t>nego i o sposobie jej wydatkowania decyduje organ stanowiący jednostki samorządu terytorialnego. O ile środki te nie zostaną ponownie wydatkowane na zakup podręczników, materiałów edukacyjnych lub materiałów ćwiczeniowych celem zapewnienia uczniom prawa do</w:t>
      </w:r>
      <w:r w:rsidRPr="006E1E9A">
        <w:t xml:space="preserve"> bezpłatnych podręczników,</w:t>
      </w:r>
      <w:r>
        <w:t xml:space="preserve"> materiałów edukacyjnych i ćwiczeniowych,</w:t>
      </w:r>
      <w:r w:rsidRPr="006E1E9A">
        <w:t xml:space="preserve"> jednostka samorządu terytorialnego może wystąpić o ujęcie ich w innej klasyfikacji budżetowej niż rozdział 80153. </w:t>
      </w:r>
    </w:p>
    <w:p w:rsidR="00AD728C" w:rsidRPr="006E1E9A" w:rsidRDefault="00EC1107" w:rsidP="00AD728C">
      <w:pPr>
        <w:spacing w:line="276" w:lineRule="auto"/>
        <w:jc w:val="both"/>
      </w:pPr>
    </w:p>
    <w:p w:rsidR="00AD728C" w:rsidRDefault="00EC1107" w:rsidP="00AD728C">
      <w:pPr>
        <w:spacing w:line="276" w:lineRule="auto"/>
        <w:jc w:val="both"/>
      </w:pPr>
      <w:r w:rsidRPr="006E1E9A">
        <w:t xml:space="preserve">Jednocześnie pragnę zwrócić Państwa uwagę na </w:t>
      </w:r>
      <w:r>
        <w:t>kwestie związane z rozlicze</w:t>
      </w:r>
      <w:r>
        <w:t>niem</w:t>
      </w:r>
      <w:r w:rsidRPr="006E1E9A">
        <w:t xml:space="preserve"> dotacji udzielonej w </w:t>
      </w:r>
      <w:r>
        <w:t xml:space="preserve">roku </w:t>
      </w:r>
      <w:r w:rsidRPr="006E1E9A">
        <w:t xml:space="preserve">bieżącym </w:t>
      </w:r>
      <w:r>
        <w:t>jednostkom samorządu terytorialnego, a następnie przyznanej przez jednostki samorządu terytorialnego dotychczasowym gimnazjom prowadzonym przez osoby prawne niebędące jednostkami samorządu terytorialnego oraz osoby f</w:t>
      </w:r>
      <w:r>
        <w:t xml:space="preserve">izyczne lub dotychczasowym gimnazjom niepublicznym, </w:t>
      </w:r>
      <w:r w:rsidRPr="006E1E9A">
        <w:t>które funkcjonują jako samodzielne szkoły do 31 sierpnia 2019 r.</w:t>
      </w:r>
      <w:r>
        <w:t xml:space="preserve">, w zakresie kwot refundacji wydatków. </w:t>
      </w:r>
    </w:p>
    <w:p w:rsidR="00AD728C" w:rsidRPr="006E1E9A" w:rsidRDefault="00EC1107" w:rsidP="00AD728C">
      <w:pPr>
        <w:spacing w:line="276" w:lineRule="auto"/>
        <w:jc w:val="both"/>
      </w:pPr>
      <w:r>
        <w:t xml:space="preserve">W </w:t>
      </w:r>
      <w:r w:rsidRPr="006E1E9A">
        <w:t>związku z tym, że szkoły te kończą swoją działalność w terminie wcześniejszym niż termin rozliczen</w:t>
      </w:r>
      <w:r w:rsidRPr="006E1E9A">
        <w:t xml:space="preserve">ia dotacji określony w art. 59 ustawy z dnia 27 października 2017 r. o finansowaniu zadań oświatowych </w:t>
      </w:r>
      <w:r>
        <w:t xml:space="preserve">właściwe jednostki samorządu terytorialnego </w:t>
      </w:r>
      <w:r w:rsidRPr="006E1E9A">
        <w:t xml:space="preserve">powinny </w:t>
      </w:r>
      <w:r>
        <w:t xml:space="preserve">od ww. szkół pozyskać </w:t>
      </w:r>
      <w:r w:rsidRPr="006E1E9A">
        <w:t xml:space="preserve">do końca sierpnia 2019 r.  </w:t>
      </w:r>
      <w:r>
        <w:t>informacje pozwalające na prawidłowe i terminowe rozl</w:t>
      </w:r>
      <w:r>
        <w:t xml:space="preserve">iczenie środków z dotacji. </w:t>
      </w:r>
    </w:p>
    <w:p w:rsidR="00AD728C" w:rsidRPr="006E1E9A" w:rsidRDefault="00EC1107" w:rsidP="00AD728C">
      <w:pPr>
        <w:spacing w:line="276" w:lineRule="auto"/>
        <w:jc w:val="both"/>
        <w:rPr>
          <w:i/>
        </w:rPr>
      </w:pPr>
    </w:p>
    <w:p w:rsidR="00AD728C" w:rsidRPr="006E1E9A" w:rsidRDefault="00EC1107" w:rsidP="00AD728C">
      <w:pPr>
        <w:pStyle w:val="menfont"/>
        <w:rPr>
          <w:i/>
        </w:rPr>
      </w:pPr>
      <w:r w:rsidRPr="006E1E9A">
        <w:rPr>
          <w:i/>
        </w:rPr>
        <w:t>Z wyrazami szacunku</w:t>
      </w:r>
    </w:p>
    <w:p w:rsidR="00424993" w:rsidRDefault="00EC1107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EC110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EC110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3"/>
                          </w:p>
                          <w:p w:rsidR="00424993" w:rsidRDefault="00EC110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EC110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EC110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EC110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5"/>
                    </w:p>
                    <w:p w:rsidR="00424993" w:rsidRDefault="00EC110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EC110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EC1107" w:rsidP="00424993">
      <w:pPr>
        <w:pStyle w:val="menfont"/>
      </w:pPr>
    </w:p>
    <w:p w:rsidR="00424993" w:rsidRDefault="00EC1107" w:rsidP="00424993">
      <w:pPr>
        <w:pStyle w:val="menfont"/>
      </w:pPr>
    </w:p>
    <w:p w:rsidR="00EF44B2" w:rsidRDefault="00EC1107" w:rsidP="00424993">
      <w:pPr>
        <w:pStyle w:val="menfont"/>
      </w:pPr>
    </w:p>
    <w:sectPr w:rsidR="00EF4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07" w:rsidRDefault="00EC1107">
      <w:r>
        <w:separator/>
      </w:r>
    </w:p>
  </w:endnote>
  <w:endnote w:type="continuationSeparator" w:id="0">
    <w:p w:rsidR="00EC1107" w:rsidRDefault="00EC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EC1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EC1107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EC1107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07" w:rsidRDefault="00EC1107">
      <w:r>
        <w:separator/>
      </w:r>
    </w:p>
  </w:footnote>
  <w:footnote w:type="continuationSeparator" w:id="0">
    <w:p w:rsidR="00EC1107" w:rsidRDefault="00EC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EC11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EC11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EC1107" w:rsidP="00505043">
    <w:pPr>
      <w:pStyle w:val="Nagwek"/>
    </w:pPr>
  </w:p>
  <w:p w:rsidR="00505043" w:rsidRPr="002E763F" w:rsidRDefault="00EC1107" w:rsidP="00505043">
    <w:pPr>
      <w:pStyle w:val="Nagwek"/>
      <w:rPr>
        <w:sz w:val="28"/>
      </w:rPr>
    </w:pPr>
  </w:p>
  <w:p w:rsidR="00505043" w:rsidRPr="00F030A2" w:rsidRDefault="00EC1107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 xml:space="preserve">MINISTER EDUKACJI </w:t>
    </w:r>
    <w:r w:rsidRPr="00F030A2">
      <w:rPr>
        <w:rFonts w:asciiTheme="majorHAnsi" w:hAnsiTheme="majorHAnsi" w:cs="Times New Roman"/>
        <w:sz w:val="34"/>
        <w:szCs w:val="34"/>
      </w:rPr>
      <w:t>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EC1107" w:rsidP="00505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DD"/>
    <w:rsid w:val="008039A6"/>
    <w:rsid w:val="00AD3DDD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2018-03-20T11:52:00Z</dcterms:created>
  <dcterms:modified xsi:type="dcterms:W3CDTF">2019-06-07T09:53:00Z</dcterms:modified>
</cp:coreProperties>
</file>